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36"/>
          <w:szCs w:val="36"/>
          <w:vertAlign w:val="baseline"/>
          <w:rtl w:val="0"/>
        </w:rPr>
        <w:t xml:space="preserve">UMBC Pre-Pharmacy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32"/>
          <w:szCs w:val="32"/>
          <w:vertAlign w:val="baseline"/>
        </w:rPr>
      </w:pPr>
      <w:r w:rsidDel="00000000" w:rsidR="00000000" w:rsidRPr="00000000">
        <w:rPr>
          <w:rtl w:val="0"/>
        </w:rPr>
      </w:r>
    </w:p>
    <w:tbl>
      <w:tblPr>
        <w:tblStyle w:val="Table1"/>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1"/>
        <w:gridCol w:w="1106"/>
        <w:gridCol w:w="1643"/>
        <w:gridCol w:w="720"/>
        <w:gridCol w:w="4140"/>
        <w:tblGridChange w:id="0">
          <w:tblGrid>
            <w:gridCol w:w="1751"/>
            <w:gridCol w:w="1106"/>
            <w:gridCol w:w="1643"/>
            <w:gridCol w:w="720"/>
            <w:gridCol w:w="4140"/>
          </w:tblGrid>
        </w:tblGridChange>
      </w:tblGrid>
      <w:tr>
        <w:trPr>
          <w:trHeight w:val="52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Requirement</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Credits</w:t>
            </w:r>
            <w:r w:rsidDel="00000000" w:rsidR="00000000" w:rsidRPr="00000000">
              <w:rPr>
                <w:rtl w:val="0"/>
              </w:rPr>
            </w:r>
          </w:p>
        </w:tc>
        <w:tc>
          <w:tcPr>
            <w:gridSpan w:val="2"/>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UMBC Course</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UMBC Title</w:t>
            </w:r>
            <w:r w:rsidDel="00000000" w:rsidR="00000000" w:rsidRPr="00000000">
              <w:rPr>
                <w:rtl w:val="0"/>
              </w:rPr>
            </w:r>
          </w:p>
        </w:tc>
      </w:tr>
      <w:tr>
        <w:trPr>
          <w:trHeight w:val="36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English</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6</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ENGL 100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Composition</w:t>
            </w:r>
            <w:r w:rsidDel="00000000" w:rsidR="00000000" w:rsidRPr="00000000">
              <w:rPr>
                <w:rtl w:val="0"/>
              </w:rPr>
            </w:r>
          </w:p>
        </w:tc>
      </w:tr>
      <w:tr>
        <w:trPr>
          <w:trHeight w:val="34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ENGL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Any Literature Course</w:t>
            </w:r>
            <w:r w:rsidDel="00000000" w:rsidR="00000000" w:rsidRPr="00000000">
              <w:rPr>
                <w:rtl w:val="0"/>
              </w:rPr>
            </w:r>
          </w:p>
        </w:tc>
      </w:tr>
      <w:tr>
        <w:trPr>
          <w:trHeight w:val="52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Mathematics and Statistics</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8</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MATH 151</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Calculus and Analytical Geometry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STAT 350</w:t>
            </w:r>
            <w:r w:rsidDel="00000000" w:rsidR="00000000" w:rsidRPr="00000000">
              <w:rPr>
                <w:rtl w:val="0"/>
              </w:rPr>
            </w:r>
          </w:p>
        </w:tc>
        <w:tc>
          <w:tcPr>
            <w:tcBorders>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Statistics with Applications in the Biological Sciences</w:t>
            </w:r>
            <w:r w:rsidDel="00000000" w:rsidR="00000000" w:rsidRPr="00000000">
              <w:rPr>
                <w:rtl w:val="0"/>
              </w:rPr>
            </w:r>
          </w:p>
        </w:tc>
      </w:tr>
      <w:tr>
        <w:trPr>
          <w:trHeight w:val="26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Biology</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29</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141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tcBorders>
              <w:left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Foundations of Biology: Cells, Energy and Organisms</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142</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Foundations of Biology: Ecology and Evolution</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251</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Human Anatomy and Physiology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252 </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Human Anatomy and Physiology II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275</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Microbiology</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275L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Microbiology Laboratory</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300L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Experimental Biology Laboratory</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302</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   (4)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Molecular and General Genetics </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 430/ CHEM 437</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Biological Chemistry or Comprehensive Biochemistry I</w:t>
            </w:r>
            <w:r w:rsidDel="00000000" w:rsidR="00000000" w:rsidRPr="00000000">
              <w:rPr>
                <w:rtl w:val="0"/>
              </w:rPr>
            </w:r>
          </w:p>
        </w:tc>
      </w:tr>
      <w:tr>
        <w:trPr>
          <w:trHeight w:val="26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Chemistry</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20</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101</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Principles of Chemistry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102</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Principles of Chemistry II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102L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Introductory Chemistry Lab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351</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Organic Chemistry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351L</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Organic Chemistry Laboratory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352</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Organic Chemistry II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CHEM 352L</w:t>
            </w:r>
            <w:r w:rsidDel="00000000" w:rsidR="00000000" w:rsidRPr="00000000">
              <w:rPr>
                <w:rtl w:val="0"/>
              </w:rPr>
            </w:r>
          </w:p>
        </w:tc>
        <w:tc>
          <w:tcPr>
            <w:tcBorders>
              <w:left w:color="000000" w:space="0" w:sz="0" w:val="nil"/>
              <w:bottom w:color="000000" w:space="0" w:sz="4" w:val="single"/>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Organic Chemistry Laboratory II</w:t>
            </w:r>
            <w:r w:rsidDel="00000000" w:rsidR="00000000" w:rsidRPr="00000000">
              <w:rPr>
                <w:rtl w:val="0"/>
              </w:rPr>
            </w:r>
          </w:p>
        </w:tc>
      </w:tr>
      <w:tr>
        <w:trPr>
          <w:trHeight w:val="26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Physics</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8</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PHYS 111</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Basic Physics I</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PHYS 112</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(4)</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Basic Physics II</w:t>
            </w:r>
            <w:r w:rsidDel="00000000" w:rsidR="00000000" w:rsidRPr="00000000">
              <w:rPr>
                <w:rtl w:val="0"/>
              </w:rPr>
            </w:r>
          </w:p>
        </w:tc>
      </w:tr>
      <w:tr>
        <w:trPr>
          <w:trHeight w:val="260" w:hRule="atLeast"/>
        </w:trPr>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Arts &amp;Humanities (AH) or Social Sciences (SS)</w:t>
            </w:r>
            <w:r w:rsidDel="00000000" w:rsidR="00000000" w:rsidRPr="00000000">
              <w:rPr>
                <w:rtl w:val="0"/>
              </w:rPr>
            </w:r>
          </w:p>
        </w:tc>
        <w:tc>
          <w:tcPr>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18</w:t>
            </w: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AH *** or SS***</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(12)</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Electives – no studio classes</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SPCH 100</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Public Communication</w:t>
            </w:r>
            <w:r w:rsidDel="00000000" w:rsidR="00000000" w:rsidRPr="00000000">
              <w:rPr>
                <w:rtl w:val="0"/>
              </w:rPr>
            </w:r>
          </w:p>
        </w:tc>
      </w:tr>
      <w:tr>
        <w:trPr>
          <w:trHeight w:val="260" w:hRule="atLeast"/>
        </w:trPr>
        <w:tc>
          <w:tcPr>
            <w:vMerge w:val="continue"/>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sz w:val="24"/>
                <w:szCs w:val="24"/>
                <w:vertAlign w:val="baseline"/>
              </w:rPr>
            </w:pPr>
            <w:r w:rsidDel="00000000" w:rsidR="00000000" w:rsidRPr="00000000">
              <w:rPr>
                <w:rtl w:val="0"/>
              </w:rPr>
            </w:r>
          </w:p>
        </w:tc>
        <w:tc>
          <w:tcPr>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ECON 101</w:t>
            </w:r>
            <w:r w:rsidDel="00000000" w:rsidR="00000000" w:rsidRPr="00000000">
              <w:rPr>
                <w:rtl w:val="0"/>
              </w:rPr>
            </w:r>
          </w:p>
        </w:tc>
        <w:tc>
          <w:tcPr>
            <w:tcBorders>
              <w:left w:color="000000" w:space="0" w:sz="0" w:val="nil"/>
            </w:tcBorders>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(3)</w:t>
            </w: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sz w:val="24"/>
                <w:szCs w:val="24"/>
                <w:vertAlign w:val="baseline"/>
                <w:rtl w:val="0"/>
              </w:rPr>
              <w:t xml:space="preserve">Principles of Microeconomics</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4"/>
          <w:szCs w:val="24"/>
          <w:vertAlign w:val="baseline"/>
        </w:rPr>
      </w:pPr>
      <w:r w:rsidDel="00000000" w:rsidR="00000000" w:rsidRPr="00000000">
        <w:rPr>
          <w:b w:val="1"/>
          <w:sz w:val="24"/>
          <w:szCs w:val="24"/>
          <w:vertAlign w:val="baseline"/>
          <w:rtl w:val="0"/>
        </w:rPr>
        <w:t xml:space="preserve">Total Credits: 89</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rPr>
          <w:sz w:val="22"/>
          <w:szCs w:val="22"/>
          <w:vertAlign w:val="baseline"/>
          <w:rtl w:val="0"/>
        </w:rPr>
        <w:t xml:space="preserve">Admissions requirements vary slightly among Pharmacy programs.  The above course requirements are designed to meet the requirements of most schools.  For the specific requirements of each school and additional information regarding Pharmacy, please visit the following websites:</w:t>
      </w:r>
      <w:r w:rsidDel="00000000" w:rsidR="00000000" w:rsidRPr="00000000">
        <w:rPr>
          <w:rtl w:val="0"/>
        </w:rPr>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hyperlink r:id="rId5">
        <w:r w:rsidDel="00000000" w:rsidR="00000000" w:rsidRPr="00000000">
          <w:rPr>
            <w:color w:val="0000ff"/>
            <w:sz w:val="22"/>
            <w:szCs w:val="22"/>
            <w:u w:val="single"/>
            <w:vertAlign w:val="baseline"/>
            <w:rtl w:val="0"/>
          </w:rPr>
          <w:t xml:space="preserve">http://www.pharmcas.org</w:t>
        </w:r>
      </w:hyperlink>
      <w:r w:rsidDel="00000000" w:rsidR="00000000" w:rsidRPr="00000000">
        <w:fldChar w:fldCharType="begin"/>
        <w:instrText xml:space="preserve"> HYPERLINK "http://www.pharmcas.org" </w:instrText>
        <w:fldChar w:fldCharType="separate"/>
      </w:r>
      <w:r w:rsidDel="00000000" w:rsidR="00000000" w:rsidRPr="00000000">
        <w:rPr>
          <w:rtl w:val="0"/>
        </w:rPr>
      </w:r>
    </w:p>
    <w:p w:rsidR="00000000" w:rsidDel="00000000" w:rsidP="00000000" w:rsidRDefault="00000000" w:rsidRPr="00000000">
      <w:pPr>
        <w:widowControl w:val="1"/>
        <w:numPr>
          <w:ilvl w:val="0"/>
          <w:numId w:val="1"/>
        </w:numPr>
        <w:pBdr>
          <w:top w:space="0" w:sz="0" w:val="nil"/>
          <w:left w:space="0" w:sz="0" w:val="nil"/>
          <w:bottom w:space="0" w:sz="0" w:val="nil"/>
          <w:right w:space="0" w:sz="0" w:val="nil"/>
          <w:between w:space="0" w:sz="0" w:val="nil"/>
        </w:pBdr>
        <w:shd w:fill="auto" w:val="clear"/>
        <w:ind w:left="720" w:hanging="360"/>
        <w:contextualSpacing w:val="0"/>
        <w:rPr>
          <w:b w:val="0"/>
          <w:sz w:val="22"/>
          <w:szCs w:val="22"/>
        </w:rPr>
      </w:pPr>
      <w:r w:rsidDel="00000000" w:rsidR="00000000" w:rsidRPr="00000000">
        <w:fldChar w:fldCharType="end"/>
      </w:r>
      <w:hyperlink r:id="rId6">
        <w:r w:rsidDel="00000000" w:rsidR="00000000" w:rsidRPr="00000000">
          <w:rPr>
            <w:color w:val="0000ff"/>
            <w:sz w:val="22"/>
            <w:szCs w:val="22"/>
            <w:u w:val="single"/>
            <w:vertAlign w:val="baseline"/>
            <w:rtl w:val="0"/>
          </w:rPr>
          <w:t xml:space="preserve">http://www.aacp.org</w:t>
        </w:r>
      </w:hyperlink>
      <w:r w:rsidDel="00000000" w:rsidR="00000000" w:rsidRPr="00000000">
        <w:fldChar w:fldCharType="begin"/>
        <w:instrText xml:space="preserve"> HYPERLINK "http://www.aacp.org/site/page.asp?TrackID=&amp;VID=1&amp;CID=29&amp;DID=3022" </w:instrText>
        <w:fldChar w:fldCharType="separat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sz w:val="22"/>
          <w:szCs w:val="22"/>
          <w:vertAlign w:val="baseline"/>
        </w:rPr>
      </w:pPr>
      <w:r w:rsidDel="00000000" w:rsidR="00000000" w:rsidRPr="00000000">
        <w:fldChar w:fldCharType="end"/>
      </w:r>
      <w:r w:rsidDel="00000000" w:rsidR="00000000" w:rsidRPr="00000000">
        <w:rPr>
          <w:sz w:val="22"/>
          <w:szCs w:val="22"/>
          <w:vertAlign w:val="baseline"/>
          <w:rtl w:val="0"/>
        </w:rPr>
        <w:t xml:space="preserve">For questions regarding the UMBC Pre-Pharmacy requirements please contact: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22"/>
          <w:szCs w:val="22"/>
          <w:vertAlign w:val="baseline"/>
        </w:rPr>
      </w:pPr>
      <w:r w:rsidDel="00000000" w:rsidR="00000000" w:rsidRPr="00000000">
        <w:rPr>
          <w:sz w:val="22"/>
          <w:szCs w:val="22"/>
          <w:vertAlign w:val="baseline"/>
          <w:rtl w:val="0"/>
        </w:rPr>
        <w:t xml:space="preserve">Office for Academic and Pre-Professional Advising • </w:t>
      </w:r>
      <w:r w:rsidDel="00000000" w:rsidR="00000000" w:rsidRPr="00000000">
        <w:rPr>
          <w:sz w:val="22"/>
          <w:szCs w:val="22"/>
          <w:rtl w:val="0"/>
        </w:rPr>
        <w:t xml:space="preserve">Sherman Hall, B-Wing Room 224</w:t>
      </w:r>
      <w:r w:rsidDel="00000000" w:rsidR="00000000" w:rsidRPr="00000000">
        <w:rPr>
          <w:sz w:val="22"/>
          <w:szCs w:val="22"/>
          <w:vertAlign w:val="baselin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0"/>
          <w:sz w:val="20"/>
          <w:szCs w:val="20"/>
          <w:vertAlign w:val="baseline"/>
        </w:rPr>
      </w:pPr>
      <w:r w:rsidDel="00000000" w:rsidR="00000000" w:rsidRPr="00000000">
        <w:rPr>
          <w:sz w:val="22"/>
          <w:szCs w:val="22"/>
          <w:vertAlign w:val="baseline"/>
          <w:rtl w:val="0"/>
        </w:rPr>
        <w:t xml:space="preserve">• </w:t>
      </w:r>
      <w:hyperlink r:id="rId7">
        <w:r w:rsidDel="00000000" w:rsidR="00000000" w:rsidRPr="00000000">
          <w:rPr>
            <w:color w:val="0000ff"/>
            <w:sz w:val="22"/>
            <w:szCs w:val="22"/>
            <w:u w:val="single"/>
            <w:vertAlign w:val="baseline"/>
            <w:rtl w:val="0"/>
          </w:rPr>
          <w:t xml:space="preserve">arc@umbc.edu</w:t>
        </w:r>
      </w:hyperlink>
      <w:r w:rsidDel="00000000" w:rsidR="00000000" w:rsidRPr="00000000">
        <w:rPr>
          <w:sz w:val="22"/>
          <w:szCs w:val="22"/>
          <w:vertAlign w:val="baseline"/>
          <w:rtl w:val="0"/>
        </w:rPr>
        <w:t xml:space="preserve"> • 410-455-2729</w:t>
      </w:r>
      <w:r w:rsidDel="00000000" w:rsidR="00000000" w:rsidRPr="00000000">
        <w:br w:type="page"/>
      </w:r>
      <w:r w:rsidDel="00000000" w:rsidR="00000000" w:rsidRPr="00000000">
        <w:rPr>
          <w:rtl w:val="0"/>
        </w:rPr>
      </w:r>
    </w:p>
    <w:sectPr>
      <w:pgSz w:h="15840" w:w="12240"/>
      <w:pgMar w:bottom="1008" w:top="100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1033"/>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pharmcas.org" TargetMode="External"/><Relationship Id="rId6" Type="http://schemas.openxmlformats.org/officeDocument/2006/relationships/hyperlink" Target="http://www.aacp.org/site/page.asp?TrackID=&amp;VID=1&amp;CID=29&amp;DID=3022" TargetMode="External"/><Relationship Id="rId7" Type="http://schemas.openxmlformats.org/officeDocument/2006/relationships/hyperlink" Target="mailto:arc@umbc.edu" TargetMode="External"/></Relationships>
</file>